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 w:before="120" w:after="12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/>
        </w:rPr>
        <w:t>Пресс-релиз</w:t>
      </w:r>
    </w:p>
    <w:p>
      <w:pPr>
        <w:pStyle w:val="Normal"/>
        <w:spacing w:lineRule="auto" w:line="288" w:before="120" w:after="12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/>
        </w:rPr>
        <w:t>16.09.2022 г.</w:t>
      </w:r>
    </w:p>
    <w:p>
      <w:pPr>
        <w:pStyle w:val="Normal"/>
        <w:spacing w:lineRule="auto" w:line="288" w:before="120" w:after="12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Псковской области стартует </w:t>
        <w:br/>
        <w:t>Национальный чемпионат «Абилимпикс» 2022 года</w:t>
      </w:r>
    </w:p>
    <w:p>
      <w:pPr>
        <w:pStyle w:val="Normal"/>
        <w:spacing w:lineRule="auto" w:line="288" w:before="120" w:after="120"/>
        <w:jc w:val="both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С 20 по 27 сентября в Псковской области пройдет Подготовительный этап Национального чемпионата по профессиональному мастерству среди инвалидов и лиц с ограниченными возможностями здоровья (ОВЗ) </w:t>
      </w:r>
      <w:hyperlink r:id="rId2">
        <w:r>
          <w:rPr>
            <w:rStyle w:val="Hyperlink0"/>
            <w:rFonts w:eastAsia="Arial Unicode MS"/>
          </w:rPr>
          <w:t>«Абилимпикс»</w:t>
        </w:r>
      </w:hyperlink>
      <w:r>
        <w:rPr>
          <w:rStyle w:val="Style15"/>
          <w:rFonts w:ascii="Times New Roman" w:hAnsi="Times New Roman"/>
          <w:b/>
          <w:bCs/>
        </w:rPr>
        <w:t xml:space="preserve"> президентской платформы </w:t>
      </w:r>
      <w:hyperlink r:id="rId3">
        <w:r>
          <w:rPr>
            <w:rStyle w:val="Hyperlink0"/>
            <w:rFonts w:eastAsia="Arial Unicode MS"/>
          </w:rPr>
          <w:t>«Россия – страна возможностей»</w:t>
        </w:r>
      </w:hyperlink>
      <w:r>
        <w:rPr/>
        <w:t xml:space="preserve"> </w:t>
      </w:r>
      <w:r>
        <w:rPr>
          <w:rFonts w:eastAsia="Times New Roman" w:cs="Times New Roman" w:ascii="Times New Roman" w:hAnsi="Times New Roman"/>
          <w:b/>
        </w:rPr>
        <w:t>в очно-дистанционном формате</w:t>
      </w:r>
      <w:r>
        <w:rPr>
          <w:rStyle w:val="Style15"/>
          <w:rFonts w:ascii="Times New Roman" w:hAnsi="Times New Roman"/>
          <w:b/>
          <w:bCs/>
        </w:rPr>
        <w:t xml:space="preserve">. Соревнования состоятся в г. Пскове, г. Острове, г. Великие Луки, г. Опочка, г. Порхове на базе ГБПОУ «Псковский колледж профессиональных технологий и сервиса», ГБПОУ «Псковский политехнический колледж», ГБПОУ «Великолукский политехнический колледж», ГБПОУ «Островский многопрофильный колледж», ГБПОУ «Псковский агротехнический колледж», ГБПОУ «Опочецкий индустриально-педагогический колледж», ГБПОУ «Псковский медицинский колледж», ГБОУ «Центр специального образования № 1», ГБОУ «Порховская специальная (коррекционная) школа-интернат», ГБОУ «Центр лечебной педагогики и дифференцированного обучения», в которых от Псковской области примут участие 11 студентов, 9 школьников, 2 специалиста в 16 компетенциях: «Администрирование баз данных», «Обработка текста», «Малярное дело», «Сухое строительство и штукатурные работы», «Слесарное дело», «Столярное дело», «Мебельщик», «Медицинский и социальный уход», «Бисероплетение», «Гончарное дело», «Флористика», «Художественное вышивание», «Швея», «Портной», «Фотограф-репортер», «Экономика и бухгалтерский учет»    </w:t>
      </w:r>
      <w:r>
        <w:rPr>
          <w:rFonts w:eastAsia="Times New Roman" w:cs="Times New Roman" w:ascii="Times New Roman" w:hAnsi="Times New Roman"/>
          <w:b/>
        </w:rPr>
        <w:t>в трех возрастных категориях: школьники, студенты, специалисты.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>Соревнования в очно-дистанционном формате предусматривают организацию площадок проведения в регионе проживания участника и Центра управления соревнованиями в Москве. К участию допущены участники, прошедшие отборочный этап в 2021 году, а также победители региональных чемпионатов 2022 года.</w:t>
      </w:r>
    </w:p>
    <w:p>
      <w:pPr>
        <w:pStyle w:val="Normal"/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  <w:i/>
          <w:iCs/>
        </w:rPr>
        <w:t>«Чемпионат «Абилимпикс» является эффективным способом трудоустройства,</w:t>
      </w:r>
      <w:r>
        <w:rPr>
          <w:rStyle w:val="Style15"/>
          <w:rFonts w:ascii="Times New Roman" w:hAnsi="Times New Roman"/>
        </w:rPr>
        <w:t xml:space="preserve"> – считает первый заместитель генерального директора АНО «Россия – страна возможностей» </w:t>
      </w:r>
      <w:r>
        <w:rPr>
          <w:rStyle w:val="Style15"/>
          <w:rFonts w:ascii="Times New Roman" w:hAnsi="Times New Roman"/>
          <w:b/>
          <w:bCs/>
        </w:rPr>
        <w:t>Алексей Агафонов</w:t>
      </w:r>
      <w:r>
        <w:rPr>
          <w:rStyle w:val="Style15"/>
          <w:rFonts w:ascii="Times New Roman" w:hAnsi="Times New Roman"/>
        </w:rPr>
        <w:t xml:space="preserve">. – </w:t>
      </w:r>
      <w:r>
        <w:rPr>
          <w:rStyle w:val="Style15"/>
          <w:rFonts w:ascii="Times New Roman" w:hAnsi="Times New Roman"/>
          <w:i/>
          <w:iCs/>
        </w:rPr>
        <w:t xml:space="preserve">Но здесь участники не только решают вопросы своей занятости и стремятся к победе, они доказывают, что люди с инвалидностью на равных с остальными участвуют в жизни общества и являются профессионалами своего дела». 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>Из-за сложной эпидемиологической обстановки финал конкурса 2021 года, который должен был состояться в Москве, перенесли на 2022 год. В связи с этим в текущем году в Национальном чемпионате «Абилимпикс» принимают участие победители региональных конкурсов не только этого, но и прошло года.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  <w:i/>
          <w:iCs/>
        </w:rPr>
        <w:t>«Из-за нестабильной ситуации, связанной с коронавирусом, было принято решение ограничить количество участников соревнований в Москве,</w:t>
      </w:r>
      <w:r>
        <w:rPr>
          <w:rStyle w:val="Style15"/>
          <w:rFonts w:ascii="Times New Roman" w:hAnsi="Times New Roman"/>
        </w:rPr>
        <w:t xml:space="preserve"> - рассказывает исполняющий обязанности руководителя Национального центра «Абилимпикс» </w:t>
      </w:r>
      <w:r>
        <w:rPr>
          <w:rStyle w:val="Style15"/>
          <w:rFonts w:ascii="Times New Roman" w:hAnsi="Times New Roman"/>
          <w:b/>
          <w:bCs/>
        </w:rPr>
        <w:t>Алексей Васильчук</w:t>
      </w:r>
      <w:r>
        <w:rPr>
          <w:rStyle w:val="Style15"/>
          <w:rFonts w:ascii="Times New Roman" w:hAnsi="Times New Roman"/>
        </w:rPr>
        <w:t xml:space="preserve">. - </w:t>
      </w:r>
      <w:r>
        <w:rPr>
          <w:rStyle w:val="Style15"/>
          <w:rFonts w:ascii="Times New Roman" w:hAnsi="Times New Roman"/>
          <w:i/>
          <w:iCs/>
        </w:rPr>
        <w:t>Поэтому часть конкурса пройдет в очном, часть – в очно-дистанционном формате. В 2020 году Национальный чемпионат прошел полностью в дистанционной форме, опыт приобрели. Так что, уверены, что и в этом году с поставленными задачами справимся»</w:t>
      </w:r>
      <w:r>
        <w:rPr>
          <w:rStyle w:val="Style15"/>
          <w:rFonts w:ascii="Times New Roman" w:hAnsi="Times New Roman"/>
        </w:rPr>
        <w:t>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>В региональном чемпионате Псковской области 2021 года приняли участие 105 человек по  15 компетенциям. 3 участника региона получили право участия в Национальном чемпионате 2022 года по основным компетенциям.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>Соревнования в очно-дистанционном формате в г. Пскове завершатся 27 сентября.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 xml:space="preserve"> </w:t>
      </w:r>
      <w:r>
        <w:rPr>
          <w:rStyle w:val="Style15"/>
          <w:rFonts w:ascii="Times New Roman" w:hAnsi="Times New Roman"/>
        </w:rPr>
        <w:t xml:space="preserve">«Абилимпикс» </w:t>
      </w:r>
      <w:r>
        <w:rPr>
          <w:rStyle w:val="Style15"/>
          <w:rFonts w:ascii="Times New Roman" w:hAnsi="Times New Roman"/>
          <w:i/>
          <w:iCs/>
        </w:rPr>
        <w:t xml:space="preserve">– </w:t>
      </w:r>
      <w:r>
        <w:rPr>
          <w:rStyle w:val="Style15"/>
          <w:rFonts w:ascii="Times New Roman" w:hAnsi="Times New Roman"/>
        </w:rPr>
        <w:t xml:space="preserve">это международное некоммерческое движение, зародившееся в Японии и развивающееся в мире с 1971 года. В настоящее время в международное движение входит 53 страны. В России чемпионаты по профессиональному мастерству среди инвалидов и лиц с ОВЗ «Абилимпикс» являются частью президентской платформы </w:t>
      </w:r>
      <w:hyperlink r:id="rId4">
        <w:r>
          <w:rPr>
            <w:rStyle w:val="Hyperlink1"/>
            <w:rFonts w:eastAsia="Arial Unicode MS"/>
          </w:rPr>
          <w:t>«Россия – страна возможностей»</w:t>
        </w:r>
      </w:hyperlink>
      <w:r>
        <w:rPr>
          <w:rStyle w:val="Style15"/>
          <w:rFonts w:ascii="Times New Roman" w:hAnsi="Times New Roman"/>
        </w:rPr>
        <w:t>. Начиная с 2015 года в нашей стране конкурсы проходят ежегодно, Центры развития движения «Абилимпикс» открыты во всех 85 регионах России.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</w:rPr>
      </w:pPr>
      <w:r>
        <w:rPr>
          <w:rStyle w:val="Style15"/>
          <w:rFonts w:ascii="Times New Roman" w:hAnsi="Times New Roman"/>
        </w:rPr>
        <w:t xml:space="preserve">В 2022 году </w:t>
      </w:r>
      <w:r>
        <w:rPr>
          <w:rStyle w:val="Style15"/>
          <w:rFonts w:ascii="Times New Roman" w:hAnsi="Times New Roman"/>
          <w:lang w:val="en-US"/>
        </w:rPr>
        <w:t>VII</w:t>
      </w:r>
      <w:r>
        <w:rPr>
          <w:rStyle w:val="Style15"/>
          <w:rFonts w:ascii="Times New Roman" w:hAnsi="Times New Roman"/>
        </w:rPr>
        <w:t xml:space="preserve"> и </w:t>
      </w:r>
      <w:r>
        <w:rPr>
          <w:rStyle w:val="Style15"/>
          <w:rFonts w:ascii="Times New Roman" w:hAnsi="Times New Roman"/>
          <w:lang w:val="en-US"/>
        </w:rPr>
        <w:t>VIII</w:t>
      </w:r>
      <w:r>
        <w:rPr>
          <w:rStyle w:val="Style15"/>
          <w:rFonts w:ascii="Times New Roman" w:hAnsi="Times New Roman"/>
        </w:rPr>
        <w:t xml:space="preserve"> Национальные чемпионаты «Абилимпикс» пройдут в объединенном формате. </w:t>
      </w:r>
      <w:r>
        <w:rPr>
          <w:rFonts w:eastAsia="Times New Roman" w:cs="Times New Roman" w:ascii="Times New Roman" w:hAnsi="Times New Roman"/>
        </w:rPr>
        <w:t xml:space="preserve">Соревнования будут проводится в очном и очно-дистанционном форматах по 79 компетенциям. Из них по 39 компетенциям </w:t>
      </w:r>
      <w:r>
        <w:rPr>
          <w:rStyle w:val="Style15"/>
          <w:rFonts w:ascii="Times New Roman" w:hAnsi="Times New Roman"/>
          <w:i/>
          <w:iCs/>
        </w:rPr>
        <w:t xml:space="preserve">– </w:t>
      </w:r>
      <w:r>
        <w:rPr>
          <w:rFonts w:eastAsia="Times New Roman" w:cs="Times New Roman" w:ascii="Times New Roman" w:hAnsi="Times New Roman"/>
        </w:rPr>
        <w:t>с 19 по 29 сентября в очно-дистанционном формате на площадках регионов, а конкурс по 40 основным компетенциям пройдет с 28 по 31 октября на основной площадке МВО «Манеж» (Гостиный двор) и дополнительных площадках образовательных организаций Москвы. В Подготовительном этапе Национального чемпионата примут участие более 3 000 конкурсантов из 85 субъектов Российской Федерации.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rFonts w:ascii="Times New Roman" w:hAnsi="Times New Roman" w:eastAsia="Times New Roman" w:cs="Times New Roman"/>
          <w:b/>
          <w:b/>
          <w:bCs/>
          <w:color w:val="0000FF"/>
          <w:u w:val="single"/>
        </w:rPr>
      </w:pPr>
      <w:r>
        <w:rPr>
          <w:rStyle w:val="Style15"/>
          <w:rFonts w:ascii="Times New Roman" w:hAnsi="Times New Roman"/>
          <w:b/>
          <w:bCs/>
          <w:u w:val="single"/>
        </w:rPr>
        <w:t>Медиаматериалы доступны по ссылке: https://cloud.mail.ru/public/sWiR/cQzJFstxw</w:t>
      </w:r>
    </w:p>
    <w:p>
      <w:pPr>
        <w:pStyle w:val="Normal"/>
        <w:spacing w:lineRule="auto" w:line="288" w:before="120" w:after="120"/>
        <w:jc w:val="both"/>
        <w:rPr>
          <w:rStyle w:val="Style15"/>
          <w:rFonts w:ascii="Times New Roman" w:hAnsi="Times New Roman"/>
          <w:b/>
          <w:b/>
          <w:bCs/>
          <w:sz w:val="22"/>
          <w:szCs w:val="22"/>
          <w:u w:val="single"/>
        </w:rPr>
      </w:pPr>
      <w:r>
        <w:rPr>
          <w:rStyle w:val="Style15"/>
          <w:rFonts w:ascii="Times New Roman" w:hAnsi="Times New Roman"/>
          <w:b/>
          <w:bCs/>
          <w:sz w:val="22"/>
          <w:szCs w:val="22"/>
          <w:u w:val="single"/>
        </w:rPr>
        <w:t>Информационная справка: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sz w:val="22"/>
          <w:szCs w:val="22"/>
        </w:rPr>
      </w:pPr>
      <w:r>
        <w:rPr>
          <w:rStyle w:val="Style15"/>
          <w:rFonts w:ascii="Times New Roman" w:hAnsi="Times New Roman"/>
          <w:b/>
          <w:bCs/>
          <w:sz w:val="22"/>
          <w:szCs w:val="22"/>
        </w:rPr>
        <w:t>Чемпионаты по профессиональному мастерству среди инвалидов и лиц с ОВЗ «Абилимпикс» являются частью президентской платформы «Россия – страна возможностей».</w:t>
      </w:r>
      <w:r>
        <w:rPr>
          <w:rStyle w:val="Style15"/>
          <w:rFonts w:ascii="Times New Roman" w:hAnsi="Times New Roman"/>
          <w:sz w:val="22"/>
          <w:szCs w:val="22"/>
        </w:rPr>
        <w:t xml:space="preserve"> Движение обеспечивает эффективную профессиональную ориентацию и мотивацию инвалидов и лиц с ограниченными возможностями здоровья к получению профессионального образования, содействие их трудоустройству и социокультурной инклюзии в обществе. Оператором чемпионатного движения «Абилимпикс» в России является Национальный центр «Абилимпикс», созданный на базе ФГБОУ ДПО «Институт развития профессионального образования».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/>
          <w:sz w:val="22"/>
          <w:szCs w:val="22"/>
        </w:rPr>
        <w:t xml:space="preserve">Автономная некоммерческая организация (АНО) «Россия – страна возможностей» </w:t>
      </w:r>
      <w:r>
        <w:rPr>
          <w:rFonts w:eastAsia="Times New Roman" w:cs="Times New Roman" w:ascii="Times New Roman" w:hAnsi="Times New Roman"/>
          <w:bCs/>
          <w:sz w:val="22"/>
          <w:szCs w:val="22"/>
        </w:rPr>
        <w:t>была создана по инициативе Президента РФ Владимира Путина. Ключевые цели организации: создание условий для повышения социальной мобильности, обеспечения личностной и профессиональной самореализации граждан, а также создание эффективных социальных лифтов в России. Наблюдательный совет АНО «Россия – страна возможностей» возглавляет Президент РФ Владимир Путин.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sz w:val="22"/>
          <w:szCs w:val="22"/>
        </w:rPr>
        <w:t>За 4 года работы платформы участниками её проектов стали более 15 миллионов человек из всех регионов России и 150 стран мира, а партнерами – более 1500 компаний, вузов, государственных и общественных организаций.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sz w:val="22"/>
          <w:szCs w:val="22"/>
        </w:rPr>
        <w:t>АНО «Россия – страна возможностей» развивает одноименную платформу, объединяющую 26 проектов: конкурс управленцев «Лидеры России», клуб Лидеров России «Эльбрус», всероссийская олимпиада студентов «Я – профессионал», всероссийский студенческий конкурс «Твой Ход», всероссийский конкурс «Большая перемена», всероссийский проект «Время карьеры», проект «ТопБЛОГ», проект «Культурный код», фестиваль «Российская студенческая весна», всероссийский конкурс «Мастера гостеприимства», «Цифровой прорыв. Сезон: искусственный интеллект», всероссийский профессиональный конкурс «Флагманы образования», всероссийский конкурс «Лучший социальный проект года», чемпионаты по профессиональному мастерству среди инвалидов и лиц с ограниченными возможностями здоровья «Абилимпикс», конкурс «Экософия», Российская национальная премия «Студент года», движение Ворлдскиллс Россия, благотворительный проект «Мечтай со мной», конкурс «Моя страна – моя Россия», международный инженерный чемпионат «CASE-IN», «Национальная технологическая олимпиада», платформа «Другое дело», Международный строительный чемпионат, проект «Начни игру», программа поощрительных поездок «Больше, чем путешествие», в т.ч. проект «Больше, чем работа» и студенческие экспедиции «Открываем Россию заново», а также конкурс «Пишем будущее» для школьников и студентов ДНР и ЛНР.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sz w:val="22"/>
          <w:szCs w:val="22"/>
        </w:rPr>
        <w:t>В рамках деятельности АНО «Россия – страна возможностей» в феврале 2019 года создан образовательный центр – Мастерская управления «Сенеж». Обучение в нем проходят участники проектов и конкурсов платформы, активная молодежь, а также управленцы и государственные служащие. Мастерская выступает площадкой для проведения различных образовательных и молодежных форумов, в том числе форума «Территория смыслов».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spacing w:lineRule="auto" w:line="288" w:before="120" w:after="120"/>
        <w:jc w:val="both"/>
        <w:rPr>
          <w:rFonts w:ascii="Times New Roman" w:hAnsi="Times New Roman" w:eastAsia="Times New Roman" w:cs="Times New Roman"/>
          <w:bCs/>
          <w:sz w:val="22"/>
          <w:szCs w:val="22"/>
        </w:rPr>
      </w:pPr>
      <w:r>
        <w:rPr>
          <w:rFonts w:eastAsia="Times New Roman" w:cs="Times New Roman" w:ascii="Times New Roman" w:hAnsi="Times New Roman"/>
          <w:bCs/>
          <w:sz w:val="22"/>
          <w:szCs w:val="22"/>
        </w:rPr>
        <w:t>В рамках АНО «Россия – страна возможностей» в августе 2020 года создан департамент оценки и методологии. Его задачами являются разработка и внедрение собственных инструментов оценки управленческих и деловых компетенций во все конкурсы и проекты платформы «Россия – страна возможностей» и партнеров, создание и поддержка центров компетенций в университетах, проведение оценки, организация обучения и подготовки кадров для деятельности центров компетенций. В вузах в 25 регионах страны создано более 50 центров оценки и развития надпрофессиональных компетенций студентов.</w:t>
      </w:r>
    </w:p>
    <w:p>
      <w:pPr>
        <w:pStyle w:val="Normal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8989" w:leader="none"/>
        </w:tabs>
        <w:spacing w:lineRule="auto" w:line="288" w:before="120" w:after="120"/>
        <w:jc w:val="both"/>
        <w:rPr>
          <w:rStyle w:val="Style15"/>
          <w:b/>
          <w:b/>
          <w:bCs/>
        </w:rPr>
      </w:pPr>
      <w:r>
        <w:rPr>
          <w:rStyle w:val="Style15"/>
          <w:rFonts w:ascii="Times New Roman" w:hAnsi="Times New Roman"/>
          <w:b/>
          <w:bCs/>
          <w:u w:val="single"/>
        </w:rPr>
        <w:t xml:space="preserve">Контактная информация: </w:t>
      </w:r>
    </w:p>
    <w:tbl>
      <w:tblPr>
        <w:tblStyle w:val="TableNormal"/>
        <w:tblW w:w="9496" w:type="dxa"/>
        <w:jc w:val="left"/>
        <w:tblInd w:w="-1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firstRow="1" w:noVBand="1" w:lastRow="0" w:firstColumn="1" w:lastColumn="0" w:noHBand="0" w:val="04a0"/>
      </w:tblPr>
      <w:tblGrid>
        <w:gridCol w:w="3114"/>
        <w:gridCol w:w="2976"/>
        <w:gridCol w:w="3406"/>
      </w:tblGrid>
      <w:tr>
        <w:trPr>
          <w:trHeight w:val="2216" w:hRule="atLeast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Style w:val="Style15"/>
                <w:rFonts w:eastAsia="Arial Unicode MS"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 xml:space="preserve">Руководитель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Style w:val="Style15"/>
                <w:rFonts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Центра развития движения «Абилимпикс» Псковской области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Style w:val="Style15"/>
                <w:rFonts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Верхоглядова Ольга Петровна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</w:rPr>
            </w:pPr>
            <w:r>
              <w:rPr>
                <w:rStyle w:val="Style15"/>
                <w:rFonts w:eastAsia="Arial Unicode MS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8(8112) 70-01-04, доп.122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Fonts w:eastAsia="Arial Unicode MS"/>
                <w:kern w:val="0"/>
                <w:lang w:eastAsia="ru-RU" w:bidi="ar-SA"/>
              </w:rPr>
            </w:pPr>
            <w:r>
              <w:rPr>
                <w:rFonts w:eastAsia="Arial Unicode MS" w:ascii="Times New Roman" w:hAnsi="Times New Roman"/>
                <w:kern w:val="0"/>
                <w:sz w:val="20"/>
                <w:szCs w:val="20"/>
                <w:lang w:val="en-US" w:eastAsia="ru-RU" w:bidi="ar-SA"/>
              </w:rPr>
              <w:t>org</w:t>
            </w:r>
            <w:r>
              <w:rPr>
                <w:rFonts w:eastAsia="Arial Unicode MS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1040@</w:t>
            </w:r>
            <w:r>
              <w:rPr>
                <w:rFonts w:eastAsia="Arial Unicode MS" w:ascii="Times New Roman" w:hAnsi="Times New Roman"/>
                <w:kern w:val="0"/>
                <w:sz w:val="20"/>
                <w:szCs w:val="20"/>
                <w:lang w:val="en-US" w:eastAsia="ru-RU" w:bidi="ar-SA"/>
              </w:rPr>
              <w:t>pskovedu</w:t>
            </w:r>
            <w:r>
              <w:rPr>
                <w:rFonts w:eastAsia="Arial Unicode MS" w:ascii="Times New Roman" w:hAnsi="Times New Roman"/>
                <w:kern w:val="0"/>
                <w:sz w:val="20"/>
                <w:szCs w:val="20"/>
                <w:lang w:val="ru-RU" w:eastAsia="ru-RU" w:bidi="ar-SA"/>
              </w:rPr>
              <w:t>.</w:t>
            </w:r>
            <w:r>
              <w:rPr>
                <w:rFonts w:eastAsia="Arial Unicode MS" w:ascii="Times New Roman" w:hAnsi="Times New Roman"/>
                <w:kern w:val="0"/>
                <w:sz w:val="20"/>
                <w:szCs w:val="20"/>
                <w:lang w:val="en-US" w:eastAsia="ru-RU" w:bidi="ar-SA"/>
              </w:rPr>
              <w:t>ru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 xml:space="preserve">Руководитель пресс-службы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 xml:space="preserve">Национального Центра «Абилимпикс»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kern w:val="0"/>
                <w:sz w:val="20"/>
                <w:szCs w:val="20"/>
                <w:lang w:val="ru-RU" w:eastAsia="ru-RU" w:bidi="ar-SA"/>
              </w:rPr>
              <w:t>Алена Бахрома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  <w:tab w:val="left" w:pos="3600" w:leader="none"/>
                <w:tab w:val="left" w:pos="432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kern w:val="0"/>
                <w:sz w:val="20"/>
                <w:szCs w:val="20"/>
                <w:lang w:val="ru-RU" w:eastAsia="ru-RU" w:bidi="ar-SA"/>
              </w:rPr>
              <w:t>+ 7 (902) 659-58-88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>
              <w:r>
                <w:rPr>
                  <w:rStyle w:val="Hyperlink3"/>
                  <w:rFonts w:eastAsia="Arial Unicode MS"/>
                  <w:kern w:val="0"/>
                  <w:lang w:val="ru-RU" w:eastAsia="ru-RU" w:bidi="ar-SA"/>
                </w:rPr>
                <w:t>alena.Bahroma@gmail.com</w:t>
              </w:r>
            </w:hyperlink>
          </w:p>
        </w:tc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b/>
                <w:bCs/>
                <w:kern w:val="0"/>
                <w:sz w:val="20"/>
                <w:szCs w:val="20"/>
                <w:lang w:val="ru-RU" w:eastAsia="ru-RU" w:bidi="ar-SA"/>
              </w:rPr>
              <w:t>Руководитель направления региональных коммуникаций АНО «Россия – страна возможностей»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kern w:val="0"/>
                <w:sz w:val="20"/>
                <w:szCs w:val="20"/>
                <w:lang w:val="ru-RU" w:eastAsia="ru-RU" w:bidi="ar-SA"/>
              </w:rPr>
              <w:t>Елена Барсегова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>
                <w:rStyle w:val="Style15"/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Style w:val="Style15"/>
                <w:rFonts w:ascii="Times New Roman" w:hAnsi="Times New Roman"/>
                <w:kern w:val="0"/>
                <w:sz w:val="20"/>
                <w:szCs w:val="20"/>
                <w:lang w:val="ru-RU" w:eastAsia="ru-RU" w:bidi="ar-SA"/>
              </w:rPr>
              <w:t>+ 7 (926) 189-10-11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1440" w:leader="none"/>
                <w:tab w:val="left" w:pos="2160" w:leader="none"/>
                <w:tab w:val="left" w:pos="2880" w:leader="none"/>
              </w:tabs>
              <w:suppressAutoHyphens w:val="true"/>
              <w:spacing w:lineRule="auto" w:line="360" w:before="0" w:after="0"/>
              <w:jc w:val="left"/>
              <w:rPr/>
            </w:pPr>
            <w:hyperlink r:id="rId6">
              <w:r>
                <w:rPr>
                  <w:rStyle w:val="Hyperlink3"/>
                  <w:rFonts w:eastAsia="Arial Unicode MS"/>
                  <w:kern w:val="0"/>
                  <w:lang w:val="ru-RU" w:eastAsia="ru-RU" w:bidi="ar-SA"/>
                </w:rPr>
                <w:t>elena.barsegova@rsv.ru</w:t>
              </w:r>
            </w:hyperlink>
          </w:p>
        </w:tc>
      </w:tr>
    </w:tbl>
    <w:p>
      <w:pPr>
        <w:pStyle w:val="Normal"/>
        <w:widowControl w:val="false"/>
        <w:tabs>
          <w:tab w:val="clear" w:pos="708"/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  <w:tab w:val="left" w:pos="9360" w:leader="none"/>
        </w:tabs>
        <w:spacing w:before="120" w:after="120"/>
        <w:ind w:left="432" w:hanging="432"/>
        <w:rPr/>
      </w:pPr>
      <w:r>
        <w:rPr/>
      </w:r>
    </w:p>
    <w:sectPr>
      <w:headerReference w:type="default" r:id="rId7"/>
      <w:footerReference w:type="default" r:id="rId8"/>
      <w:type w:val="nextPage"/>
      <w:pgSz w:w="11906" w:h="16838"/>
      <w:pgMar w:left="1560" w:right="851" w:header="709" w:top="1843" w:footer="709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Helvetica Neue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5625465</wp:posOffset>
          </wp:positionH>
          <wp:positionV relativeFrom="page">
            <wp:posOffset>318770</wp:posOffset>
          </wp:positionV>
          <wp:extent cx="1390015" cy="530225"/>
          <wp:effectExtent l="0" t="0" r="0" b="0"/>
          <wp:wrapNone/>
          <wp:docPr id="1" name="officeArt object" descr="Рисунок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fficeArt object" descr="Рисунок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90015" cy="530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4463415</wp:posOffset>
          </wp:positionH>
          <wp:positionV relativeFrom="page">
            <wp:posOffset>245745</wp:posOffset>
          </wp:positionV>
          <wp:extent cx="1005840" cy="676910"/>
          <wp:effectExtent l="0" t="0" r="0" b="0"/>
          <wp:wrapNone/>
          <wp:docPr id="2" name="Изображение1" descr="Рисунок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Изображение1" descr="Рисунок 2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676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val="bestFit" w:percent="18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cs="Arial Unicode MS" w:eastAsia="Arial Unicode MS"/>
      <w:color w:val="000000"/>
      <w:kern w:val="0"/>
      <w:sz w:val="24"/>
      <w:szCs w:val="24"/>
      <w:lang w:val="ru-RU" w:eastAsia="ru-RU" w:bidi="ar-SA"/>
      <w14:textOutline w14:w="12700" w14:cap="flat" w14:cmpd="sng" w14:algn="ctr">
        <w14:noFill/>
        <w14:prstDash w14:val="solid"/>
        <w14:miter w14:lim="400000"/>
      </w14:textOutline>
    </w:rPr>
  </w:style>
  <w:style w:type="paragraph" w:styleId="1">
    <w:name w:val="Heading 1"/>
    <w:basedOn w:val="Normal"/>
    <w:next w:val="Normal"/>
    <w:link w:val="10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next w:val="Normal"/>
    <w:link w:val="3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next w:val="Normal"/>
    <w:link w:val="40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next w:val="Normal"/>
    <w:link w:val="50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">
    <w:name w:val="Heading 6"/>
    <w:basedOn w:val="Normal"/>
    <w:next w:val="Normal"/>
    <w:link w:val="60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next w:val="Normal"/>
    <w:link w:val="70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next w:val="Normal"/>
    <w:link w:val="80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next w:val="Normal"/>
    <w:link w:val="90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3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5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7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9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Заголовок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link w:val="22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 w:customStyle="1">
    <w:name w:val="Привязка концевой сноски"/>
    <w:rPr>
      <w:vertAlign w:val="superscript"/>
    </w:rPr>
  </w:style>
  <w:style w:type="character" w:styleId="EndnoteCharacters" w:customStyle="1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 w:customStyle="1">
    <w:name w:val="Интернет-ссылка"/>
    <w:rPr>
      <w:u w:val="single"/>
    </w:rPr>
  </w:style>
  <w:style w:type="character" w:styleId="Style15" w:customStyle="1">
    <w:name w:val="Нет"/>
    <w:qFormat/>
    <w:rPr/>
  </w:style>
  <w:style w:type="character" w:styleId="Hyperlink0" w:customStyle="1">
    <w:name w:val="Hyperlink.0"/>
    <w:basedOn w:val="Style15"/>
    <w:qFormat/>
    <w:rPr>
      <w:rFonts w:ascii="Times New Roman" w:hAnsi="Times New Roman" w:eastAsia="Times New Roman" w:cs="Times New Roman"/>
      <w:b/>
      <w:bCs/>
      <w:color w:val="0563C1"/>
      <w:u w:val="single"/>
    </w:rPr>
  </w:style>
  <w:style w:type="character" w:styleId="Hyperlink1" w:customStyle="1">
    <w:name w:val="Hyperlink.1"/>
    <w:basedOn w:val="Style15"/>
    <w:qFormat/>
    <w:rPr>
      <w:rFonts w:ascii="Times New Roman" w:hAnsi="Times New Roman" w:eastAsia="Times New Roman" w:cs="Times New Roman"/>
      <w:color w:val="0563C1"/>
      <w:u w:val="single"/>
      <w14:textOutline w14:w="12700" w14:cap="flat" w14:cmpd="sng" w14:algn="ctr">
        <w14:noFill/>
        <w14:prstDash w14:val="solid"/>
        <w14:miter w14:lim="400000"/>
      </w14:textOutline>
    </w:rPr>
  </w:style>
  <w:style w:type="character" w:styleId="Hyperlink2" w:customStyle="1">
    <w:name w:val="Hyperlink.2"/>
    <w:basedOn w:val="Style15"/>
    <w:qFormat/>
    <w:rPr>
      <w:rFonts w:ascii="Times New Roman" w:hAnsi="Times New Roman" w:eastAsia="Times New Roman" w:cs="Times New Roman"/>
      <w:sz w:val="20"/>
      <w:szCs w:val="20"/>
      <w:lang w:val="ru-RU"/>
    </w:rPr>
  </w:style>
  <w:style w:type="character" w:styleId="Hyperlink3" w:customStyle="1">
    <w:name w:val="Hyperlink.3"/>
    <w:basedOn w:val="Style15"/>
    <w:qFormat/>
    <w:rPr>
      <w:rFonts w:ascii="Times New Roman" w:hAnsi="Times New Roman" w:eastAsia="Times New Roman" w:cs="Times New Roman"/>
      <w:color w:val="0000FF"/>
      <w:sz w:val="20"/>
      <w:szCs w:val="20"/>
      <w:u w:val="single"/>
      <w:lang w:val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next w:val="Style17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Rule="auto" w:line="276"/>
    </w:pPr>
    <w:rPr>
      <w:b/>
      <w:bCs/>
      <w:color w:val="4472C4" w:themeColor="accent1"/>
      <w:sz w:val="18"/>
      <w:szCs w:val="18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0"/>
      <w:szCs w:val="20"/>
      <w:lang w:val="ru-RU" w:eastAsia="ru-RU" w:bidi="ar-SA"/>
    </w:rPr>
  </w:style>
  <w:style w:type="paragraph" w:styleId="Style22">
    <w:name w:val="Subtitle"/>
    <w:basedOn w:val="Normal"/>
    <w:next w:val="Normal"/>
    <w:uiPriority w:val="11"/>
    <w:qFormat/>
    <w:pPr>
      <w:spacing w:before="200" w:after="200"/>
    </w:pPr>
    <w:rPr/>
  </w:style>
  <w:style w:type="paragraph" w:styleId="Quote">
    <w:name w:val="Quote"/>
    <w:basedOn w:val="Normal"/>
    <w:next w:val="Normal"/>
    <w:link w:val="21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next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</w:pPr>
    <w:rPr/>
  </w:style>
  <w:style w:type="paragraph" w:styleId="Style25">
    <w:name w:val="Footnote Text"/>
    <w:basedOn w:val="Normal"/>
    <w:uiPriority w:val="99"/>
    <w:semiHidden/>
    <w:unhideWhenUsed/>
    <w:pPr>
      <w:spacing w:before="0" w:after="40"/>
    </w:pPr>
    <w:rPr>
      <w:sz w:val="18"/>
    </w:rPr>
  </w:style>
  <w:style w:type="paragraph" w:styleId="Style26">
    <w:name w:val="Endnote Text"/>
    <w:basedOn w:val="Normal"/>
    <w:uiPriority w:val="99"/>
    <w:semiHidden/>
    <w:unhideWhenUsed/>
    <w:pPr/>
    <w:rPr>
      <w:sz w:val="20"/>
    </w:rPr>
  </w:style>
  <w:style w:type="paragraph" w:styleId="12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next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next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next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next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next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next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next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next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0"/>
      <w:szCs w:val="20"/>
      <w:lang w:val="ru-RU" w:eastAsia="ru-RU" w:bidi="ar-SA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Style27">
    <w:name w:val="Header"/>
    <w:pPr>
      <w:widowControl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</w:pPr>
    <w:rPr>
      <w:rFonts w:ascii="Calibri" w:hAnsi="Calibri" w:cs="Arial Unicode MS" w:eastAsia="Arial Unicode MS"/>
      <w:color w:val="000000"/>
      <w:kern w:val="0"/>
      <w:sz w:val="24"/>
      <w:szCs w:val="24"/>
      <w:lang w:val="ru-RU" w:eastAsia="ru-RU" w:bidi="ar-SA"/>
    </w:rPr>
  </w:style>
  <w:style w:type="paragraph" w:styleId="Style28" w:customStyle="1">
    <w:name w:val="Колонтитулы"/>
    <w:qFormat/>
    <w:pPr>
      <w:widowControl/>
      <w:tabs>
        <w:tab w:val="clear" w:pos="708"/>
        <w:tab w:val="right" w:pos="9020" w:leader="none"/>
      </w:tabs>
      <w:suppressAutoHyphens w:val="true"/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ru-RU" w:eastAsia="ru-RU" w:bidi="ar-SA"/>
      <w14:textOutline w14:w="0" w14:cap="flat" w14:cmpd="sng" w14:algn="ctr">
        <w14:noFill/>
        <w14:prstDash w14:val="solid"/>
        <w14:bevel/>
      </w14:textOutline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e">
    <w:name w:val="Table Grid"/>
    <w:basedOn w:val="a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2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24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  <w:shd w:val="clear" w:color="537DC8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3F3" w:fill="DAE3F3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AE3F3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  <w:shd w:val="clear" w:color="5B9BD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1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band1Vert">
      <w:tblPr/>
      <w:tcPr>
        <w:shd w:val="clear" w:color="A9BEE4" w:fill="A9BEE4" w:themeFill="accent1" w:themeFillTint="75"/>
      </w:tcPr>
    </w:tblStylePr>
    <w:tblStylePr w:type="band1Horz">
      <w:tblPr/>
      <w:tcPr>
        <w:shd w:val="clear" w:color="A9BEE4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5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band1Vert">
      <w:tblPr/>
      <w:tcPr>
        <w:shd w:val="clear" w:color="B3D0EB" w:fill="B3D0EB" w:themeFill="accent5" w:themeFillTint="75"/>
      </w:tcPr>
    </w:tblStylePr>
    <w:tblStylePr w:type="band1Horz">
      <w:tblPr/>
      <w:tcPr>
        <w:shd w:val="clear" w:color="B3D0EB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b/>
        <w:color w:val="A0B7E1" w:themeColor="accent1" w:themeTint="80" w:themeShade="95"/>
      </w:rPr>
      <w:tblPr/>
    </w:tblStylePr>
    <w:tblStylePr w:type="firstCol">
      <w:rPr>
        <w:b/>
        <w:color w:val="A0B7E1" w:themeColor="accent1" w:themeTint="80" w:themeShade="95"/>
      </w:rPr>
      <w:tblPr/>
    </w:tblStylePr>
    <w:tblStylePr w:type="lastCol">
      <w:rPr>
        <w:b/>
        <w:color w:val="A0B7E1" w:themeColor="accent1" w:themeTint="80" w:themeShade="95"/>
      </w:rPr>
      <w:tblPr/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0B7E1" w:themeColor="accent1" w:themeTint="80" w:themeShade="95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i/>
        <w:color w:val="A0B7E1" w:themeColor="accent1" w:themeTint="80" w:themeShade="95"/>
        <w:sz w:val="22"/>
      </w:rPr>
      <w:tblPr/>
      <w:tcPr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D7D31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ED7D31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C000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C000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245A8D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245A8D" w:themeColor="accent5" w:themeShade="95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5" w:sz="4" w:space="0"/>
        </w:tcBorders>
        <w:shd w:val="clear" w:color="FFFFFF" w:fill="auto"/>
      </w:tcPr>
    </w:tblStylePr>
    <w:tblStylePr w:type="lastCol">
      <w:rPr>
        <w:i/>
        <w:color w:val="245A8D" w:themeColor="accent5" w:themeShade="95"/>
        <w:sz w:val="22"/>
      </w:rPr>
      <w:tblPr/>
      <w:tcPr>
        <w:tcBorders>
          <w:top w:val="none" w:color="000000" w:sz="4" w:space="0"/>
          <w:left w:val="single" w:color="5B9BD5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0AD47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000000" w:sz="4" w:space="0"/>
          <w:left w:val="single" w:color="70AD47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tblPr/>
      <w:tcPr>
        <w:shd w:val="clear" w:color="CFDBF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tblPr/>
      <w:tcPr>
        <w:shd w:val="clear" w:color="D5E5F4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ED7D31" w:themeColor="accent2" w:sz="4" w:space="0"/>
          <w:right w:val="single" w:color="ED7D31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bottom w:val="single" w:color="ED7D31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bottom w:val="single" w:color="A5A5A5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bottom w:val="single" w:color="FFC000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BC2E5" w:fill="9BC2E5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5" w:sz="4" w:space="0"/>
          <w:right w:val="single" w:color="5B9BD5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bottom w:val="single" w:color="5B9BD5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70AD47" w:themeColor="accent6" w:sz="4" w:space="0"/>
          <w:right w:val="single" w:color="70AD47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bottom w:val="single" w:color="70AD47" w:themeColor="accent6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472C4" w:themeColor="accent1" w:sz="32" w:space="0"/>
          <w:bottom w:val="single" w:color="FFFFFF" w:themeColor="light1" w:sz="12" w:space="0"/>
        </w:tcBorders>
        <w:shd w:val="clear" w:color="4472C4" w:fill="4472C4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472C4" w:fill="4472C4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4472C4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ED7D31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ED7D31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ED7D31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5A5A5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5A5A5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5A5A5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C000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C000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C000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5" w:sz="32" w:space="0"/>
          <w:bottom w:val="single" w:color="FFFFFF" w:themeColor="light1" w:sz="12" w:space="0"/>
        </w:tcBorders>
        <w:shd w:val="clear" w:color="9BC2E5" w:fill="9BC2E5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BC2E5" w:fill="9BC2E5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9BC2E5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0AD47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0AD47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0AD47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color="4472C4" w:themeColor="accent1" w:sz="4" w:space="0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254175" w:themeColor="accent1" w:themeShade="95"/>
      </w:rPr>
      <w:tblPr/>
    </w:tblStylePr>
    <w:tblStylePr w:type="lastCol">
      <w:rPr>
        <w:b/>
        <w:color w:val="254175" w:themeColor="accent1" w:themeShade="95"/>
      </w:rPr>
      <w:tblPr/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ED7D31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ED7D31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A5A5A5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C000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C000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color="5B9BD5" w:themeColor="accent5" w:sz="4" w:space="0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9BC2E5" w:themeColor="accent5" w:themeTint="9a" w:themeShade="95"/>
      </w:rPr>
      <w:tblPr/>
    </w:tblStylePr>
    <w:tblStylePr w:type="lastCol">
      <w:rPr>
        <w:b/>
        <w:color w:val="9BC2E5" w:themeColor="accent5" w:themeTint="9a" w:themeShade="95"/>
      </w:rPr>
      <w:tblPr/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70AD47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firstRow"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254175" w:themeColor="accent1" w:themeShade="95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i/>
        <w:color w:val="254175" w:themeColor="accent1" w:themeShade="95"/>
        <w:sz w:val="22"/>
      </w:rPr>
      <w:tblPr/>
      <w:tcPr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ED7D31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4" w:space="0"/>
          <w:left w:val="single" w:color="ED7D31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000000" w:sz="4" w:space="0"/>
          <w:left w:val="single" w:color="A5A5A5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C000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4" w:space="0"/>
          <w:left w:val="single" w:color="FFC000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firstRow"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9BC2E5" w:themeColor="accent5" w:themeTint="9a" w:themeShade="95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5" w:sz="4" w:space="0"/>
        </w:tcBorders>
        <w:shd w:val="clear" w:color="FFFFFF" w:fill="auto"/>
      </w:tcPr>
    </w:tblStylePr>
    <w:tblStylePr w:type="lastCol">
      <w:rPr>
        <w:i/>
        <w:color w:val="9BC2E5" w:themeColor="accent5" w:themeTint="9a" w:themeShade="95"/>
        <w:sz w:val="22"/>
      </w:rPr>
      <w:tblPr/>
      <w:tcPr>
        <w:tcBorders>
          <w:top w:val="none" w:color="000000" w:sz="4" w:space="0"/>
          <w:left w:val="single" w:color="5B9BD5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0AD47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000000" w:sz="4" w:space="0"/>
          <w:left w:val="single" w:color="70AD47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2F2F2" w:themeFill="text1" w:themeFillTint="d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  <w:insideH w:val="single" w:color="ED7D31" w:themeColor="accent2" w:sz="4" w:space="0"/>
        <w:insideV w:val="single" w:color="ED7D31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  <w:insideH w:val="single" w:color="A5A5A5" w:themeColor="accent3" w:sz="4" w:space="0"/>
        <w:insideV w:val="single" w:color="A5A5A5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  <w:insideH w:val="single" w:color="FFC000" w:themeColor="accent4" w:sz="4" w:space="0"/>
        <w:insideV w:val="single" w:color="FFC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472C4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472C4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ED7D31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ED7D31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5A5A5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5A5A5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C000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C000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0AD47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0AD47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bilympics-russia.ru/" TargetMode="External"/><Relationship Id="rId3" Type="http://schemas.openxmlformats.org/officeDocument/2006/relationships/hyperlink" Target="https://rsv.ru/" TargetMode="External"/><Relationship Id="rId4" Type="http://schemas.openxmlformats.org/officeDocument/2006/relationships/hyperlink" Target="https://rsv.ru/" TargetMode="External"/><Relationship Id="rId5" Type="http://schemas.openxmlformats.org/officeDocument/2006/relationships/hyperlink" Target="mailto:alena.Bahroma@gmail.com" TargetMode="External"/><Relationship Id="rId6" Type="http://schemas.openxmlformats.org/officeDocument/2006/relationships/hyperlink" Target="mailto:elena.barsegova@rsv.ru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 bwMode="auto">
        <a:prstGeom prst="rect">
          <a:avLst/>
        </a:prstGeom>
        <a:noFill/>
        <a:ln w="25400" cap="flat">
          <a:solidFill>
            <a:schemeClr val="accent1"/>
          </a:solidFill>
          <a:prstDash val="solid"/>
          <a:round/>
        </a:ln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 bwMode="auto">
        <a:prstGeom prst="rect">
          <a:avLst/>
        </a:prstGeom>
        <a:noFill/>
        <a:ln w="12700" cap="flat">
          <a:noFill/>
          <a:miter lim="400000"/>
        </a:ln>
      </a:spPr>
      <a:bodyPr/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LibreOffice/7.0.1.2$Windows_X86_64 LibreOffice_project/7cbcfc562f6eb6708b5ff7d7397325de9e764452</Application>
  <Pages>2</Pages>
  <Words>996</Words>
  <Characters>7357</Characters>
  <CharactersWithSpaces>8349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2022-09-15T21:10:00Z</dcterms:created>
  <dc:creator>Microsoft Office User</dc:creator>
  <dc:description/>
  <dc:language>ru-RU</dc:language>
  <cp:lastModifiedBy>Microsoft Office User</cp:lastModifiedBy>
  <dcterms:modified xsi:type="dcterms:W3CDTF">2022-09-15T21:10:00Z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